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6EE7" w14:textId="14CA9A0A" w:rsidR="00D86B4F" w:rsidRPr="00D86B4F" w:rsidRDefault="00D86B4F" w:rsidP="00D86B4F">
      <w:pPr>
        <w:spacing w:before="100" w:beforeAutospacing="1" w:after="100" w:afterAutospacing="1"/>
        <w:jc w:val="center"/>
        <w:outlineLvl w:val="1"/>
        <w:rPr>
          <w:rFonts w:ascii="Arial" w:hAnsi="Arial" w:cs="Arial"/>
          <w:b/>
          <w:bCs/>
          <w:sz w:val="44"/>
          <w:szCs w:val="44"/>
          <w:lang w:eastAsia="de-DE"/>
        </w:rPr>
      </w:pPr>
      <w:r w:rsidRPr="00D86B4F">
        <w:rPr>
          <w:rFonts w:ascii="Arial" w:hAnsi="Arial" w:cs="Arial"/>
          <w:b/>
          <w:bCs/>
          <w:sz w:val="44"/>
          <w:szCs w:val="44"/>
          <w:lang w:eastAsia="de-DE"/>
        </w:rPr>
        <w:t xml:space="preserve">Ausschreibung </w:t>
      </w:r>
      <w:r>
        <w:rPr>
          <w:rFonts w:ascii="Arial" w:hAnsi="Arial" w:cs="Arial"/>
          <w:b/>
          <w:bCs/>
          <w:sz w:val="44"/>
          <w:szCs w:val="44"/>
          <w:lang w:eastAsia="de-DE"/>
        </w:rPr>
        <w:br/>
      </w:r>
      <w:r w:rsidRPr="00D86B4F">
        <w:rPr>
          <w:rFonts w:ascii="Arial" w:hAnsi="Arial" w:cs="Arial"/>
          <w:b/>
          <w:bCs/>
          <w:sz w:val="44"/>
          <w:szCs w:val="44"/>
          <w:lang w:eastAsia="de-DE"/>
        </w:rPr>
        <w:t>Ei</w:t>
      </w:r>
      <w:r w:rsidR="002903A1">
        <w:rPr>
          <w:rFonts w:ascii="Arial" w:hAnsi="Arial" w:cs="Arial"/>
          <w:b/>
          <w:bCs/>
          <w:sz w:val="44"/>
          <w:szCs w:val="44"/>
          <w:lang w:eastAsia="de-DE"/>
        </w:rPr>
        <w:t>nzel-Vereinsmeisterschaften 2026</w:t>
      </w:r>
    </w:p>
    <w:p w14:paraId="273A5A47" w14:textId="77777777" w:rsidR="00D86B4F" w:rsidRPr="00D86B4F" w:rsidRDefault="00D86B4F" w:rsidP="00D86B4F">
      <w:pPr>
        <w:spacing w:before="100" w:beforeAutospacing="1" w:after="100" w:afterAutospacing="1"/>
        <w:jc w:val="center"/>
        <w:rPr>
          <w:rFonts w:ascii="Arial" w:hAnsi="Arial" w:cs="Arial"/>
          <w:lang w:eastAsia="de-DE"/>
        </w:rPr>
      </w:pPr>
      <w:r w:rsidRPr="00D86B4F">
        <w:rPr>
          <w:rFonts w:ascii="Arial" w:hAnsi="Arial" w:cs="Arial"/>
          <w:b/>
          <w:bCs/>
          <w:lang w:eastAsia="de-DE"/>
        </w:rPr>
        <w:t xml:space="preserve">Nenngeld: 5,- EUR pro </w:t>
      </w:r>
      <w:proofErr w:type="spellStart"/>
      <w:r w:rsidRPr="00D86B4F">
        <w:rPr>
          <w:rFonts w:ascii="Arial" w:hAnsi="Arial" w:cs="Arial"/>
          <w:b/>
          <w:bCs/>
          <w:lang w:eastAsia="de-DE"/>
        </w:rPr>
        <w:t>Bewerb</w:t>
      </w:r>
      <w:proofErr w:type="spellEnd"/>
      <w:r w:rsidRPr="00D86B4F">
        <w:rPr>
          <w:rFonts w:ascii="Arial" w:hAnsi="Arial" w:cs="Arial"/>
          <w:b/>
          <w:bCs/>
          <w:lang w:eastAsia="de-DE"/>
        </w:rPr>
        <w:t xml:space="preserve"> / Spieler</w:t>
      </w:r>
    </w:p>
    <w:p w14:paraId="04A61EC7" w14:textId="77777777" w:rsidR="00D86B4F" w:rsidRPr="00D86B4F" w:rsidRDefault="00D86B4F" w:rsidP="00D86B4F">
      <w:pPr>
        <w:spacing w:before="100" w:beforeAutospacing="1" w:after="100" w:afterAutospacing="1"/>
        <w:rPr>
          <w:rFonts w:ascii="Arial" w:hAnsi="Arial" w:cs="Arial"/>
          <w:lang w:eastAsia="de-DE"/>
        </w:rPr>
      </w:pPr>
      <w:r w:rsidRPr="00D86B4F">
        <w:rPr>
          <w:rFonts w:ascii="Arial" w:hAnsi="Arial" w:cs="Arial"/>
          <w:sz w:val="57"/>
          <w:szCs w:val="57"/>
          <w:lang w:eastAsia="de-DE"/>
        </w:rPr>
        <w:t> </w:t>
      </w:r>
    </w:p>
    <w:tbl>
      <w:tblPr>
        <w:tblW w:w="5000" w:type="pct"/>
        <w:tblCellMar>
          <w:top w:w="15" w:type="dxa"/>
          <w:left w:w="15" w:type="dxa"/>
          <w:bottom w:w="15" w:type="dxa"/>
          <w:right w:w="15" w:type="dxa"/>
        </w:tblCellMar>
        <w:tblLook w:val="04A0" w:firstRow="1" w:lastRow="0" w:firstColumn="1" w:lastColumn="0" w:noHBand="0" w:noVBand="1"/>
      </w:tblPr>
      <w:tblGrid>
        <w:gridCol w:w="2178"/>
        <w:gridCol w:w="272"/>
        <w:gridCol w:w="6623"/>
      </w:tblGrid>
      <w:tr w:rsidR="00D86B4F" w:rsidRPr="00D86B4F" w14:paraId="6B0E1601" w14:textId="77777777" w:rsidTr="00D86B4F">
        <w:trPr>
          <w:trHeight w:val="360"/>
        </w:trPr>
        <w:tc>
          <w:tcPr>
            <w:tcW w:w="1200" w:type="pct"/>
            <w:vAlign w:val="center"/>
            <w:hideMark/>
          </w:tcPr>
          <w:p w14:paraId="73F7689E"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Teilnahmeberechtigt:</w:t>
            </w:r>
          </w:p>
        </w:tc>
        <w:tc>
          <w:tcPr>
            <w:tcW w:w="150" w:type="pct"/>
            <w:vAlign w:val="center"/>
            <w:hideMark/>
          </w:tcPr>
          <w:p w14:paraId="75757BAB" w14:textId="77777777" w:rsidR="00D86B4F" w:rsidRPr="00D86B4F" w:rsidRDefault="00D86B4F" w:rsidP="00D86B4F">
            <w:pPr>
              <w:rPr>
                <w:rFonts w:ascii="Arial" w:hAnsi="Arial" w:cs="Arial"/>
                <w:sz w:val="21"/>
                <w:szCs w:val="21"/>
                <w:lang w:eastAsia="de-DE"/>
              </w:rPr>
            </w:pPr>
          </w:p>
        </w:tc>
        <w:tc>
          <w:tcPr>
            <w:tcW w:w="3677" w:type="pct"/>
            <w:vAlign w:val="center"/>
            <w:hideMark/>
          </w:tcPr>
          <w:p w14:paraId="37163C25"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Alle aktiven Mitglieder des TC Nofels-</w:t>
            </w:r>
            <w:proofErr w:type="spellStart"/>
            <w:r w:rsidRPr="00D86B4F">
              <w:rPr>
                <w:rFonts w:ascii="Arial" w:hAnsi="Arial" w:cs="Arial"/>
                <w:sz w:val="21"/>
                <w:szCs w:val="21"/>
                <w:lang w:eastAsia="de-DE"/>
              </w:rPr>
              <w:t>Tosters</w:t>
            </w:r>
            <w:proofErr w:type="spellEnd"/>
          </w:p>
        </w:tc>
      </w:tr>
      <w:tr w:rsidR="00D86B4F" w:rsidRPr="00D86B4F" w14:paraId="5D0C482A" w14:textId="77777777" w:rsidTr="00D86B4F">
        <w:trPr>
          <w:trHeight w:val="360"/>
        </w:trPr>
        <w:tc>
          <w:tcPr>
            <w:tcW w:w="1200" w:type="pct"/>
            <w:vAlign w:val="center"/>
            <w:hideMark/>
          </w:tcPr>
          <w:p w14:paraId="166F17E8"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Bewerbe:</w:t>
            </w:r>
          </w:p>
        </w:tc>
        <w:tc>
          <w:tcPr>
            <w:tcW w:w="150" w:type="pct"/>
            <w:vAlign w:val="center"/>
            <w:hideMark/>
          </w:tcPr>
          <w:p w14:paraId="3EF4D634"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3677" w:type="pct"/>
            <w:vAlign w:val="center"/>
            <w:hideMark/>
          </w:tcPr>
          <w:p w14:paraId="51CA6833" w14:textId="28B7E35A"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Herren Allgemein, Herren 45+, Herren 60+</w:t>
            </w:r>
            <w:r w:rsidR="002903A1">
              <w:rPr>
                <w:rFonts w:ascii="Arial" w:hAnsi="Arial" w:cs="Arial"/>
                <w:sz w:val="21"/>
                <w:szCs w:val="21"/>
                <w:lang w:eastAsia="de-DE"/>
              </w:rPr>
              <w:t>, 1 Punkte VM</w:t>
            </w:r>
          </w:p>
        </w:tc>
      </w:tr>
      <w:tr w:rsidR="00D86B4F" w:rsidRPr="00D86B4F" w14:paraId="717DC44B" w14:textId="77777777" w:rsidTr="00D86B4F">
        <w:trPr>
          <w:trHeight w:val="720"/>
        </w:trPr>
        <w:tc>
          <w:tcPr>
            <w:tcW w:w="1200" w:type="pct"/>
            <w:vAlign w:val="center"/>
            <w:hideMark/>
          </w:tcPr>
          <w:p w14:paraId="3B3952B8"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150" w:type="pct"/>
            <w:vAlign w:val="center"/>
            <w:hideMark/>
          </w:tcPr>
          <w:p w14:paraId="2127200E"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3677" w:type="pct"/>
            <w:vAlign w:val="center"/>
            <w:hideMark/>
          </w:tcPr>
          <w:p w14:paraId="7505904D"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 xml:space="preserve">Damen und Jugend u18, Kids/Jugend (für jeden </w:t>
            </w:r>
            <w:proofErr w:type="spellStart"/>
            <w:r w:rsidRPr="00D86B4F">
              <w:rPr>
                <w:rFonts w:ascii="Arial" w:hAnsi="Arial" w:cs="Arial"/>
                <w:sz w:val="21"/>
                <w:szCs w:val="21"/>
                <w:lang w:eastAsia="de-DE"/>
              </w:rPr>
              <w:t>Bewerb</w:t>
            </w:r>
            <w:proofErr w:type="spellEnd"/>
            <w:r w:rsidRPr="00D86B4F">
              <w:rPr>
                <w:rFonts w:ascii="Arial" w:hAnsi="Arial" w:cs="Arial"/>
                <w:sz w:val="21"/>
                <w:szCs w:val="21"/>
                <w:lang w:eastAsia="de-DE"/>
              </w:rPr>
              <w:t xml:space="preserve"> ist ein B-</w:t>
            </w:r>
            <w:proofErr w:type="spellStart"/>
            <w:r w:rsidRPr="00D86B4F">
              <w:rPr>
                <w:rFonts w:ascii="Arial" w:hAnsi="Arial" w:cs="Arial"/>
                <w:sz w:val="21"/>
                <w:szCs w:val="21"/>
                <w:lang w:eastAsia="de-DE"/>
              </w:rPr>
              <w:t>Bewerb</w:t>
            </w:r>
            <w:proofErr w:type="spellEnd"/>
            <w:r w:rsidRPr="00D86B4F">
              <w:rPr>
                <w:rFonts w:ascii="Arial" w:hAnsi="Arial" w:cs="Arial"/>
                <w:sz w:val="21"/>
                <w:szCs w:val="21"/>
                <w:lang w:eastAsia="de-DE"/>
              </w:rPr>
              <w:t xml:space="preserve"> geplant – näheres in der Rubrik Play-Off)</w:t>
            </w:r>
          </w:p>
        </w:tc>
      </w:tr>
      <w:tr w:rsidR="00D86B4F" w:rsidRPr="00D86B4F" w14:paraId="09AE9FC6" w14:textId="77777777" w:rsidTr="00D86B4F">
        <w:trPr>
          <w:trHeight w:val="720"/>
        </w:trPr>
        <w:tc>
          <w:tcPr>
            <w:tcW w:w="1200" w:type="pct"/>
            <w:vAlign w:val="center"/>
            <w:hideMark/>
          </w:tcPr>
          <w:p w14:paraId="00E067DD"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Anmeldung:</w:t>
            </w:r>
          </w:p>
        </w:tc>
        <w:tc>
          <w:tcPr>
            <w:tcW w:w="150" w:type="pct"/>
            <w:vAlign w:val="center"/>
            <w:hideMark/>
          </w:tcPr>
          <w:p w14:paraId="3BFD2B14"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3677" w:type="pct"/>
            <w:vAlign w:val="center"/>
            <w:hideMark/>
          </w:tcPr>
          <w:p w14:paraId="7A6A7508"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Eintrag in den aushängenden Listen im Club oder</w:t>
            </w:r>
          </w:p>
          <w:p w14:paraId="6118A63F" w14:textId="02759553"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 xml:space="preserve">per Email an </w:t>
            </w:r>
            <w:hyperlink r:id="rId5" w:history="1">
              <w:r w:rsidR="002903A1" w:rsidRPr="004F3BBD">
                <w:rPr>
                  <w:rStyle w:val="Hyperlink"/>
                  <w:rFonts w:ascii="Arial" w:hAnsi="Arial" w:cs="Arial"/>
                  <w:sz w:val="21"/>
                  <w:szCs w:val="21"/>
                  <w:lang w:eastAsia="de-DE"/>
                </w:rPr>
                <w:t>thurnherjulian@gmail.com</w:t>
              </w:r>
            </w:hyperlink>
            <w:r w:rsidR="002903A1">
              <w:rPr>
                <w:rFonts w:ascii="Arial" w:hAnsi="Arial" w:cs="Arial"/>
                <w:sz w:val="21"/>
                <w:szCs w:val="21"/>
                <w:lang w:eastAsia="de-DE"/>
              </w:rPr>
              <w:t xml:space="preserve"> / ACHTUNG: Es sind für jeden Spieler maximal 3 Bewerbe erlaubt (Einzel VM + Doppel VM</w:t>
            </w:r>
            <w:r w:rsidR="00502141">
              <w:rPr>
                <w:rFonts w:ascii="Arial" w:hAnsi="Arial" w:cs="Arial"/>
                <w:sz w:val="21"/>
                <w:szCs w:val="21"/>
                <w:lang w:eastAsia="de-DE"/>
              </w:rPr>
              <w:t xml:space="preserve"> </w:t>
            </w:r>
            <w:r w:rsidR="00502141" w:rsidRPr="00502141">
              <w:rPr>
                <w:rFonts w:ascii="Arial" w:hAnsi="Arial" w:cs="Arial"/>
                <w:sz w:val="21"/>
                <w:szCs w:val="21"/>
                <w:lang w:eastAsia="de-DE"/>
              </w:rPr>
              <w:sym w:font="Wingdings" w:char="F0E0"/>
            </w:r>
            <w:r w:rsidR="00502141">
              <w:rPr>
                <w:rFonts w:ascii="Arial" w:hAnsi="Arial" w:cs="Arial"/>
                <w:sz w:val="21"/>
                <w:szCs w:val="21"/>
                <w:lang w:eastAsia="de-DE"/>
              </w:rPr>
              <w:t xml:space="preserve"> Die 1-Punkte VM ist ausgenommen</w:t>
            </w:r>
            <w:r w:rsidR="002903A1">
              <w:rPr>
                <w:rFonts w:ascii="Arial" w:hAnsi="Arial" w:cs="Arial"/>
                <w:sz w:val="21"/>
                <w:szCs w:val="21"/>
                <w:lang w:eastAsia="de-DE"/>
              </w:rPr>
              <w:t>)</w:t>
            </w:r>
          </w:p>
        </w:tc>
      </w:tr>
      <w:tr w:rsidR="00D86B4F" w:rsidRPr="00D86B4F" w14:paraId="1AA0E93D" w14:textId="77777777" w:rsidTr="00D86B4F">
        <w:trPr>
          <w:trHeight w:val="360"/>
        </w:trPr>
        <w:tc>
          <w:tcPr>
            <w:tcW w:w="1200" w:type="pct"/>
            <w:vAlign w:val="center"/>
            <w:hideMark/>
          </w:tcPr>
          <w:p w14:paraId="0B341D17"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Anmeldeschluss:</w:t>
            </w:r>
          </w:p>
        </w:tc>
        <w:tc>
          <w:tcPr>
            <w:tcW w:w="150" w:type="pct"/>
            <w:vAlign w:val="center"/>
            <w:hideMark/>
          </w:tcPr>
          <w:p w14:paraId="694CAAA2"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3677" w:type="pct"/>
            <w:vAlign w:val="center"/>
            <w:hideMark/>
          </w:tcPr>
          <w:p w14:paraId="3D3AFA4B" w14:textId="4021BC39" w:rsidR="00D86B4F" w:rsidRPr="00D86B4F" w:rsidRDefault="002903A1" w:rsidP="00D86B4F">
            <w:pPr>
              <w:spacing w:before="100" w:beforeAutospacing="1" w:after="100" w:afterAutospacing="1"/>
              <w:rPr>
                <w:rFonts w:ascii="Arial" w:hAnsi="Arial" w:cs="Arial"/>
                <w:sz w:val="21"/>
                <w:szCs w:val="21"/>
                <w:lang w:eastAsia="de-DE"/>
              </w:rPr>
            </w:pPr>
            <w:r>
              <w:rPr>
                <w:rFonts w:ascii="Arial" w:hAnsi="Arial" w:cs="Arial"/>
                <w:sz w:val="21"/>
                <w:szCs w:val="21"/>
                <w:lang w:eastAsia="de-DE"/>
              </w:rPr>
              <w:t>Freitag 03.07.2026</w:t>
            </w:r>
            <w:r w:rsidR="00D86B4F" w:rsidRPr="00D86B4F">
              <w:rPr>
                <w:rFonts w:ascii="Arial" w:hAnsi="Arial" w:cs="Arial"/>
                <w:sz w:val="21"/>
                <w:szCs w:val="21"/>
                <w:lang w:eastAsia="de-DE"/>
              </w:rPr>
              <w:t xml:space="preserve"> – 21:00 Uhr</w:t>
            </w:r>
          </w:p>
        </w:tc>
      </w:tr>
      <w:tr w:rsidR="00D86B4F" w:rsidRPr="00D86B4F" w14:paraId="667C2265" w14:textId="77777777" w:rsidTr="00D86B4F">
        <w:trPr>
          <w:trHeight w:val="360"/>
        </w:trPr>
        <w:tc>
          <w:tcPr>
            <w:tcW w:w="1200" w:type="pct"/>
            <w:vAlign w:val="center"/>
            <w:hideMark/>
          </w:tcPr>
          <w:p w14:paraId="2A208268"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Auslosung:</w:t>
            </w:r>
          </w:p>
        </w:tc>
        <w:tc>
          <w:tcPr>
            <w:tcW w:w="150" w:type="pct"/>
            <w:vAlign w:val="center"/>
            <w:hideMark/>
          </w:tcPr>
          <w:p w14:paraId="3C37A0EE"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3677" w:type="pct"/>
            <w:vAlign w:val="center"/>
            <w:hideMark/>
          </w:tcPr>
          <w:p w14:paraId="3D259970" w14:textId="4E10CA38" w:rsidR="00D86B4F" w:rsidRPr="00D86B4F" w:rsidRDefault="002903A1" w:rsidP="00D86B4F">
            <w:pPr>
              <w:spacing w:before="100" w:beforeAutospacing="1" w:after="100" w:afterAutospacing="1"/>
              <w:rPr>
                <w:rFonts w:ascii="Arial" w:hAnsi="Arial" w:cs="Arial"/>
                <w:sz w:val="21"/>
                <w:szCs w:val="21"/>
                <w:lang w:eastAsia="de-DE"/>
              </w:rPr>
            </w:pPr>
            <w:r>
              <w:rPr>
                <w:rFonts w:ascii="Arial" w:hAnsi="Arial" w:cs="Arial"/>
                <w:sz w:val="21"/>
                <w:szCs w:val="21"/>
                <w:lang w:eastAsia="de-DE"/>
              </w:rPr>
              <w:t>Montag 06.07.2026</w:t>
            </w:r>
            <w:r w:rsidR="00D86B4F" w:rsidRPr="00D86B4F">
              <w:rPr>
                <w:rFonts w:ascii="Arial" w:hAnsi="Arial" w:cs="Arial"/>
                <w:sz w:val="21"/>
                <w:szCs w:val="21"/>
                <w:lang w:eastAsia="de-DE"/>
              </w:rPr>
              <w:t xml:space="preserve"> – 18:00 Uhr</w:t>
            </w:r>
          </w:p>
        </w:tc>
      </w:tr>
      <w:tr w:rsidR="00D86B4F" w:rsidRPr="00D86B4F" w14:paraId="5547B6DB" w14:textId="77777777" w:rsidTr="00D86B4F">
        <w:trPr>
          <w:trHeight w:val="360"/>
        </w:trPr>
        <w:tc>
          <w:tcPr>
            <w:tcW w:w="1200" w:type="pct"/>
            <w:vAlign w:val="center"/>
            <w:hideMark/>
          </w:tcPr>
          <w:p w14:paraId="43406C2F"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Turnierleitung:</w:t>
            </w:r>
          </w:p>
        </w:tc>
        <w:tc>
          <w:tcPr>
            <w:tcW w:w="150" w:type="pct"/>
            <w:vAlign w:val="center"/>
            <w:hideMark/>
          </w:tcPr>
          <w:p w14:paraId="19832BB5"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3677" w:type="pct"/>
            <w:vAlign w:val="center"/>
            <w:hideMark/>
          </w:tcPr>
          <w:p w14:paraId="5830700E"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Julian Thurnher</w:t>
            </w:r>
          </w:p>
        </w:tc>
      </w:tr>
      <w:tr w:rsidR="00D86B4F" w:rsidRPr="00D86B4F" w14:paraId="019D7558" w14:textId="77777777" w:rsidTr="00D86B4F">
        <w:trPr>
          <w:trHeight w:val="360"/>
        </w:trPr>
        <w:tc>
          <w:tcPr>
            <w:tcW w:w="1200" w:type="pct"/>
            <w:vAlign w:val="center"/>
            <w:hideMark/>
          </w:tcPr>
          <w:p w14:paraId="3B3ECD5F"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Spielplan:</w:t>
            </w:r>
          </w:p>
        </w:tc>
        <w:tc>
          <w:tcPr>
            <w:tcW w:w="150" w:type="pct"/>
            <w:vAlign w:val="center"/>
            <w:hideMark/>
          </w:tcPr>
          <w:p w14:paraId="735978DF"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3677" w:type="pct"/>
            <w:vAlign w:val="center"/>
            <w:hideMark/>
          </w:tcPr>
          <w:p w14:paraId="4A7EE82A" w14:textId="289143D2" w:rsidR="00D86B4F" w:rsidRPr="00D86B4F" w:rsidRDefault="002903A1" w:rsidP="00D86B4F">
            <w:pPr>
              <w:spacing w:before="100" w:beforeAutospacing="1" w:after="100" w:afterAutospacing="1"/>
              <w:rPr>
                <w:rFonts w:ascii="Arial" w:hAnsi="Arial" w:cs="Arial"/>
                <w:sz w:val="21"/>
                <w:szCs w:val="21"/>
                <w:lang w:eastAsia="de-DE"/>
              </w:rPr>
            </w:pPr>
            <w:r>
              <w:rPr>
                <w:rFonts w:ascii="Arial" w:hAnsi="Arial" w:cs="Arial"/>
                <w:sz w:val="21"/>
                <w:szCs w:val="21"/>
                <w:lang w:eastAsia="de-DE"/>
              </w:rPr>
              <w:t xml:space="preserve">Vorrunden/Gruppenspiele: Mo </w:t>
            </w:r>
            <w:r w:rsidR="00F95479">
              <w:rPr>
                <w:rFonts w:ascii="Arial" w:hAnsi="Arial" w:cs="Arial"/>
                <w:sz w:val="21"/>
                <w:szCs w:val="21"/>
                <w:lang w:eastAsia="de-DE"/>
              </w:rPr>
              <w:t>06</w:t>
            </w:r>
            <w:r>
              <w:rPr>
                <w:rFonts w:ascii="Arial" w:hAnsi="Arial" w:cs="Arial"/>
                <w:sz w:val="21"/>
                <w:szCs w:val="21"/>
                <w:lang w:eastAsia="de-DE"/>
              </w:rPr>
              <w:t>.07. –  So 16</w:t>
            </w:r>
            <w:r w:rsidR="00D86B4F" w:rsidRPr="00D86B4F">
              <w:rPr>
                <w:rFonts w:ascii="Arial" w:hAnsi="Arial" w:cs="Arial"/>
                <w:sz w:val="21"/>
                <w:szCs w:val="21"/>
                <w:lang w:eastAsia="de-DE"/>
              </w:rPr>
              <w:t>.08.202</w:t>
            </w:r>
            <w:r>
              <w:rPr>
                <w:rFonts w:ascii="Arial" w:hAnsi="Arial" w:cs="Arial"/>
                <w:sz w:val="21"/>
                <w:szCs w:val="21"/>
                <w:lang w:eastAsia="de-DE"/>
              </w:rPr>
              <w:t>6</w:t>
            </w:r>
          </w:p>
        </w:tc>
      </w:tr>
      <w:tr w:rsidR="00D86B4F" w:rsidRPr="00D86B4F" w14:paraId="2B3535D9" w14:textId="77777777" w:rsidTr="00D86B4F">
        <w:trPr>
          <w:trHeight w:val="360"/>
        </w:trPr>
        <w:tc>
          <w:tcPr>
            <w:tcW w:w="1200" w:type="pct"/>
            <w:vAlign w:val="center"/>
            <w:hideMark/>
          </w:tcPr>
          <w:p w14:paraId="10AB5B88"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150" w:type="pct"/>
            <w:vAlign w:val="center"/>
            <w:hideMark/>
          </w:tcPr>
          <w:p w14:paraId="18E32A7B"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3677" w:type="pct"/>
            <w:vAlign w:val="center"/>
            <w:hideMark/>
          </w:tcPr>
          <w:p w14:paraId="5DE166E5" w14:textId="73983766" w:rsidR="00D86B4F" w:rsidRPr="00D86B4F" w:rsidRDefault="002903A1" w:rsidP="00D86B4F">
            <w:pPr>
              <w:spacing w:before="100" w:beforeAutospacing="1" w:after="100" w:afterAutospacing="1"/>
              <w:rPr>
                <w:rFonts w:ascii="Arial" w:hAnsi="Arial" w:cs="Arial"/>
                <w:sz w:val="21"/>
                <w:szCs w:val="21"/>
                <w:lang w:eastAsia="de-DE"/>
              </w:rPr>
            </w:pPr>
            <w:r>
              <w:rPr>
                <w:rFonts w:ascii="Arial" w:hAnsi="Arial" w:cs="Arial"/>
                <w:sz w:val="21"/>
                <w:szCs w:val="21"/>
                <w:lang w:eastAsia="de-DE"/>
              </w:rPr>
              <w:t>Play-off-</w:t>
            </w:r>
            <w:proofErr w:type="spellStart"/>
            <w:r>
              <w:rPr>
                <w:rFonts w:ascii="Arial" w:hAnsi="Arial" w:cs="Arial"/>
                <w:sz w:val="21"/>
                <w:szCs w:val="21"/>
                <w:lang w:eastAsia="de-DE"/>
              </w:rPr>
              <w:t>Bewerb</w:t>
            </w:r>
            <w:proofErr w:type="spellEnd"/>
            <w:r>
              <w:rPr>
                <w:rFonts w:ascii="Arial" w:hAnsi="Arial" w:cs="Arial"/>
                <w:sz w:val="21"/>
                <w:szCs w:val="21"/>
                <w:lang w:eastAsia="de-DE"/>
              </w:rPr>
              <w:t>: Mo 17.08. – Fr 11</w:t>
            </w:r>
            <w:r w:rsidR="00D86B4F" w:rsidRPr="00D86B4F">
              <w:rPr>
                <w:rFonts w:ascii="Arial" w:hAnsi="Arial" w:cs="Arial"/>
                <w:sz w:val="21"/>
                <w:szCs w:val="21"/>
                <w:lang w:eastAsia="de-DE"/>
              </w:rPr>
              <w:t>.09.202</w:t>
            </w:r>
            <w:r>
              <w:rPr>
                <w:rFonts w:ascii="Arial" w:hAnsi="Arial" w:cs="Arial"/>
                <w:sz w:val="21"/>
                <w:szCs w:val="21"/>
                <w:lang w:eastAsia="de-DE"/>
              </w:rPr>
              <w:t>6</w:t>
            </w:r>
          </w:p>
        </w:tc>
      </w:tr>
      <w:tr w:rsidR="00D86B4F" w:rsidRPr="00D86B4F" w14:paraId="5DAC7D26" w14:textId="77777777" w:rsidTr="00D86B4F">
        <w:trPr>
          <w:trHeight w:val="720"/>
        </w:trPr>
        <w:tc>
          <w:tcPr>
            <w:tcW w:w="1200" w:type="pct"/>
            <w:vAlign w:val="center"/>
            <w:hideMark/>
          </w:tcPr>
          <w:p w14:paraId="335F8F1D"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150" w:type="pct"/>
            <w:vAlign w:val="center"/>
            <w:hideMark/>
          </w:tcPr>
          <w:p w14:paraId="740217BC"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3677" w:type="pct"/>
            <w:vAlign w:val="center"/>
            <w:hideMark/>
          </w:tcPr>
          <w:p w14:paraId="0F557D16" w14:textId="5419434D" w:rsidR="00D86B4F" w:rsidRPr="00D86B4F" w:rsidRDefault="002903A1" w:rsidP="00D86B4F">
            <w:pPr>
              <w:spacing w:before="100" w:beforeAutospacing="1" w:after="100" w:afterAutospacing="1"/>
              <w:rPr>
                <w:rFonts w:ascii="Arial" w:hAnsi="Arial" w:cs="Arial"/>
                <w:sz w:val="21"/>
                <w:szCs w:val="21"/>
                <w:lang w:eastAsia="de-DE"/>
              </w:rPr>
            </w:pPr>
            <w:r>
              <w:rPr>
                <w:rFonts w:ascii="Arial" w:hAnsi="Arial" w:cs="Arial"/>
                <w:sz w:val="21"/>
                <w:szCs w:val="21"/>
                <w:lang w:eastAsia="de-DE"/>
              </w:rPr>
              <w:t>Finalspiele: Sa 12.09.2026</w:t>
            </w:r>
            <w:r w:rsidR="00D86B4F" w:rsidRPr="00D86B4F">
              <w:rPr>
                <w:rFonts w:ascii="Arial" w:hAnsi="Arial" w:cs="Arial"/>
                <w:sz w:val="21"/>
                <w:szCs w:val="21"/>
                <w:lang w:eastAsia="de-DE"/>
              </w:rPr>
              <w:t xml:space="preserve"> </w:t>
            </w:r>
            <w:r>
              <w:rPr>
                <w:rFonts w:ascii="Arial" w:hAnsi="Arial" w:cs="Arial"/>
                <w:sz w:val="21"/>
                <w:szCs w:val="21"/>
                <w:lang w:eastAsia="de-DE"/>
              </w:rPr>
              <w:t>(Ersatztermin: So 13.09.2026</w:t>
            </w:r>
            <w:r w:rsidR="00D86B4F" w:rsidRPr="00D86B4F">
              <w:rPr>
                <w:rFonts w:ascii="Arial" w:hAnsi="Arial" w:cs="Arial"/>
                <w:sz w:val="21"/>
                <w:szCs w:val="21"/>
                <w:lang w:eastAsia="de-DE"/>
              </w:rPr>
              <w:t>) genaue Zeiten samt Siegerehrung folgen per Aushang</w:t>
            </w:r>
          </w:p>
        </w:tc>
      </w:tr>
      <w:tr w:rsidR="00D86B4F" w:rsidRPr="00D86B4F" w14:paraId="28861283" w14:textId="77777777" w:rsidTr="00D86B4F">
        <w:trPr>
          <w:trHeight w:val="720"/>
        </w:trPr>
        <w:tc>
          <w:tcPr>
            <w:tcW w:w="1200" w:type="pct"/>
            <w:vAlign w:val="center"/>
            <w:hideMark/>
          </w:tcPr>
          <w:p w14:paraId="3D49F192"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150" w:type="pct"/>
            <w:vAlign w:val="center"/>
            <w:hideMark/>
          </w:tcPr>
          <w:p w14:paraId="58C554EA"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3677" w:type="pct"/>
            <w:vAlign w:val="center"/>
            <w:hideMark/>
          </w:tcPr>
          <w:p w14:paraId="25577DE9"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kurzfristige Änderungen bleiben infolge Witterung und nach Ermessen der Turnierleitung vorbehalten</w:t>
            </w:r>
          </w:p>
        </w:tc>
      </w:tr>
      <w:tr w:rsidR="00D86B4F" w:rsidRPr="00D86B4F" w14:paraId="3246E3B1" w14:textId="77777777" w:rsidTr="00D86B4F">
        <w:trPr>
          <w:trHeight w:val="2160"/>
        </w:trPr>
        <w:tc>
          <w:tcPr>
            <w:tcW w:w="1200" w:type="pct"/>
            <w:vAlign w:val="center"/>
            <w:hideMark/>
          </w:tcPr>
          <w:p w14:paraId="3A80EE47"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p w14:paraId="7F41E697"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p w14:paraId="1E383607"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xml:space="preserve">        </w:t>
            </w:r>
          </w:p>
          <w:p w14:paraId="6D7D7817"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xml:space="preserve">               </w:t>
            </w:r>
          </w:p>
          <w:p w14:paraId="01750A7D"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150" w:type="pct"/>
            <w:vAlign w:val="center"/>
            <w:hideMark/>
          </w:tcPr>
          <w:p w14:paraId="022001C1"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3677" w:type="pct"/>
            <w:vAlign w:val="center"/>
            <w:hideMark/>
          </w:tcPr>
          <w:p w14:paraId="20F00044" w14:textId="7FBBC6A9"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xml:space="preserve">Abschluss der Vorrunde am So </w:t>
            </w:r>
            <w:r w:rsidR="002903A1">
              <w:rPr>
                <w:rFonts w:ascii="Arial" w:hAnsi="Arial" w:cs="Arial"/>
                <w:b/>
                <w:bCs/>
                <w:sz w:val="21"/>
                <w:szCs w:val="21"/>
                <w:lang w:eastAsia="de-DE"/>
              </w:rPr>
              <w:t>16.08.2026</w:t>
            </w:r>
            <w:r w:rsidRPr="00D86B4F">
              <w:rPr>
                <w:rFonts w:ascii="Arial" w:hAnsi="Arial" w:cs="Arial"/>
                <w:b/>
                <w:bCs/>
                <w:sz w:val="21"/>
                <w:szCs w:val="21"/>
                <w:lang w:eastAsia="de-DE"/>
              </w:rPr>
              <w:t xml:space="preserve"> ist strikt einzuhalten!</w:t>
            </w:r>
            <w:r w:rsidRPr="00D86B4F">
              <w:rPr>
                <w:rFonts w:ascii="Arial" w:hAnsi="Arial" w:cs="Arial"/>
                <w:sz w:val="21"/>
                <w:szCs w:val="21"/>
                <w:lang w:eastAsia="de-DE"/>
              </w:rPr>
              <w:t xml:space="preserve"> Die Turnierleitung behält sich </w:t>
            </w:r>
            <w:r w:rsidR="002903A1">
              <w:rPr>
                <w:rFonts w:ascii="Arial" w:hAnsi="Arial" w:cs="Arial"/>
                <w:sz w:val="21"/>
                <w:szCs w:val="21"/>
                <w:lang w:eastAsia="de-DE"/>
              </w:rPr>
              <w:t>vor, bei Spielen, die per Mo, 17</w:t>
            </w:r>
            <w:r w:rsidRPr="00D86B4F">
              <w:rPr>
                <w:rFonts w:ascii="Arial" w:hAnsi="Arial" w:cs="Arial"/>
                <w:sz w:val="21"/>
                <w:szCs w:val="21"/>
                <w:lang w:eastAsia="de-DE"/>
              </w:rPr>
              <w:t xml:space="preserve">.08. abends nicht absolviert sind, per Los zu entscheiden, wer </w:t>
            </w:r>
            <w:proofErr w:type="gramStart"/>
            <w:r w:rsidRPr="00D86B4F">
              <w:rPr>
                <w:rFonts w:ascii="Arial" w:hAnsi="Arial" w:cs="Arial"/>
                <w:sz w:val="21"/>
                <w:szCs w:val="21"/>
                <w:lang w:eastAsia="de-DE"/>
              </w:rPr>
              <w:t>weiter kommt</w:t>
            </w:r>
            <w:proofErr w:type="gramEnd"/>
            <w:r w:rsidRPr="00D86B4F">
              <w:rPr>
                <w:rFonts w:ascii="Arial" w:hAnsi="Arial" w:cs="Arial"/>
                <w:sz w:val="21"/>
                <w:szCs w:val="21"/>
                <w:lang w:eastAsia="de-DE"/>
              </w:rPr>
              <w:t>. Das Risiko für Schlechtwetter in der Endphase der Vorrunde tragen die Spieler/-innen.</w:t>
            </w:r>
          </w:p>
        </w:tc>
      </w:tr>
      <w:tr w:rsidR="00D86B4F" w:rsidRPr="00D86B4F" w14:paraId="7F2AE41D" w14:textId="77777777" w:rsidTr="00D86B4F">
        <w:trPr>
          <w:trHeight w:val="360"/>
        </w:trPr>
        <w:tc>
          <w:tcPr>
            <w:tcW w:w="1200" w:type="pct"/>
            <w:vAlign w:val="center"/>
            <w:hideMark/>
          </w:tcPr>
          <w:p w14:paraId="6499C438"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Modus:</w:t>
            </w:r>
          </w:p>
        </w:tc>
        <w:tc>
          <w:tcPr>
            <w:tcW w:w="150" w:type="pct"/>
            <w:vAlign w:val="center"/>
            <w:hideMark/>
          </w:tcPr>
          <w:p w14:paraId="7A098267"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3677" w:type="pct"/>
            <w:vAlign w:val="center"/>
            <w:hideMark/>
          </w:tcPr>
          <w:p w14:paraId="59DC9AC9"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 </w:t>
            </w:r>
          </w:p>
        </w:tc>
      </w:tr>
      <w:tr w:rsidR="00D86B4F" w:rsidRPr="00D86B4F" w14:paraId="58054EFA" w14:textId="77777777" w:rsidTr="00D86B4F">
        <w:trPr>
          <w:trHeight w:val="1800"/>
        </w:trPr>
        <w:tc>
          <w:tcPr>
            <w:tcW w:w="1200" w:type="pct"/>
            <w:vAlign w:val="center"/>
            <w:hideMark/>
          </w:tcPr>
          <w:p w14:paraId="2B7E173C"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 </w:t>
            </w:r>
          </w:p>
          <w:p w14:paraId="1F4E2573"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p w14:paraId="13FF7FA7"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p w14:paraId="4BD0D919"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p w14:paraId="26256D19"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Setzung</w:t>
            </w:r>
          </w:p>
        </w:tc>
        <w:tc>
          <w:tcPr>
            <w:tcW w:w="150" w:type="pct"/>
            <w:vAlign w:val="center"/>
            <w:hideMark/>
          </w:tcPr>
          <w:p w14:paraId="04D729D5" w14:textId="77777777" w:rsidR="00D86B4F" w:rsidRPr="00D86B4F" w:rsidRDefault="00D86B4F" w:rsidP="00D86B4F">
            <w:pPr>
              <w:rPr>
                <w:rFonts w:ascii="Arial" w:hAnsi="Arial" w:cs="Arial"/>
                <w:sz w:val="21"/>
                <w:szCs w:val="21"/>
                <w:lang w:eastAsia="de-DE"/>
              </w:rPr>
            </w:pPr>
          </w:p>
        </w:tc>
        <w:tc>
          <w:tcPr>
            <w:tcW w:w="3677" w:type="pct"/>
            <w:vAlign w:val="center"/>
            <w:hideMark/>
          </w:tcPr>
          <w:p w14:paraId="4D6C8A5F"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Titelverteidiger (sofern gemeldet) auf 1 – Die restlichen Spieler werden per ITN (Setzung der Spieler) und Lostopf (Töpfe werden je nach Nennungen aufgefüllt) zugelost. Gesetzte Spieler (nach Anzahl der Gruppe und ITN) werden per ITN als Nummer 1 der Gruppe aufgeteilt.</w:t>
            </w:r>
          </w:p>
        </w:tc>
      </w:tr>
      <w:tr w:rsidR="00D86B4F" w:rsidRPr="00D86B4F" w14:paraId="3F622612" w14:textId="77777777" w:rsidTr="00D86B4F">
        <w:trPr>
          <w:trHeight w:val="1440"/>
        </w:trPr>
        <w:tc>
          <w:tcPr>
            <w:tcW w:w="1200" w:type="pct"/>
            <w:vAlign w:val="center"/>
            <w:hideMark/>
          </w:tcPr>
          <w:p w14:paraId="5EB3BF4F"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lastRenderedPageBreak/>
              <w:t> </w:t>
            </w:r>
          </w:p>
          <w:p w14:paraId="30BF2885"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Vorrunden / Gruppenspiele</w:t>
            </w:r>
          </w:p>
        </w:tc>
        <w:tc>
          <w:tcPr>
            <w:tcW w:w="150" w:type="pct"/>
            <w:vAlign w:val="center"/>
            <w:hideMark/>
          </w:tcPr>
          <w:p w14:paraId="30824298" w14:textId="77777777" w:rsidR="00D86B4F" w:rsidRPr="00D86B4F" w:rsidRDefault="00D86B4F" w:rsidP="00D86B4F">
            <w:pPr>
              <w:rPr>
                <w:rFonts w:ascii="Arial" w:hAnsi="Arial" w:cs="Arial"/>
                <w:sz w:val="21"/>
                <w:szCs w:val="21"/>
                <w:lang w:eastAsia="de-DE"/>
              </w:rPr>
            </w:pPr>
          </w:p>
        </w:tc>
        <w:tc>
          <w:tcPr>
            <w:tcW w:w="3677" w:type="pct"/>
            <w:vAlign w:val="center"/>
            <w:hideMark/>
          </w:tcPr>
          <w:p w14:paraId="1041979D"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Jede(r) gegen jede(n) in der Gruppe; die beiden Bestplatzierten der Gruppe qualifizieren sich für die Play-off-Bewerbe; je nach Anzahl der gemeldeten Teilnehmer sind in der Vorrunde 3er-, 4er- oder 5er-Gruppen möglich.</w:t>
            </w:r>
          </w:p>
        </w:tc>
      </w:tr>
      <w:tr w:rsidR="00D86B4F" w:rsidRPr="00D86B4F" w14:paraId="48C98032" w14:textId="77777777" w:rsidTr="00D86B4F">
        <w:trPr>
          <w:trHeight w:val="1800"/>
        </w:trPr>
        <w:tc>
          <w:tcPr>
            <w:tcW w:w="1200" w:type="pct"/>
            <w:vAlign w:val="center"/>
            <w:hideMark/>
          </w:tcPr>
          <w:p w14:paraId="335B57AF" w14:textId="77777777" w:rsidR="00D86B4F" w:rsidRPr="00D86B4F" w:rsidRDefault="00D86B4F" w:rsidP="00D86B4F">
            <w:pPr>
              <w:rPr>
                <w:rFonts w:ascii="Arial" w:hAnsi="Arial" w:cs="Arial"/>
                <w:sz w:val="21"/>
                <w:szCs w:val="21"/>
                <w:lang w:eastAsia="de-DE"/>
              </w:rPr>
            </w:pPr>
          </w:p>
        </w:tc>
        <w:tc>
          <w:tcPr>
            <w:tcW w:w="150" w:type="pct"/>
            <w:vAlign w:val="center"/>
            <w:hideMark/>
          </w:tcPr>
          <w:p w14:paraId="523F9191" w14:textId="77777777" w:rsidR="00D86B4F" w:rsidRPr="00D86B4F" w:rsidRDefault="00D86B4F" w:rsidP="00D86B4F">
            <w:pPr>
              <w:rPr>
                <w:rFonts w:ascii="Arial" w:hAnsi="Arial" w:cs="Arial"/>
                <w:sz w:val="21"/>
                <w:szCs w:val="21"/>
                <w:lang w:eastAsia="de-DE"/>
              </w:rPr>
            </w:pPr>
          </w:p>
        </w:tc>
        <w:tc>
          <w:tcPr>
            <w:tcW w:w="3677" w:type="pct"/>
            <w:vAlign w:val="center"/>
            <w:hideMark/>
          </w:tcPr>
          <w:p w14:paraId="6BC03BF8"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 xml:space="preserve">Bei Nichtverfügbarkeit eines für den Play-off </w:t>
            </w:r>
            <w:proofErr w:type="spellStart"/>
            <w:r w:rsidRPr="00D86B4F">
              <w:rPr>
                <w:rFonts w:ascii="Arial" w:hAnsi="Arial" w:cs="Arial"/>
                <w:sz w:val="21"/>
                <w:szCs w:val="21"/>
                <w:lang w:eastAsia="de-DE"/>
              </w:rPr>
              <w:t>Bewerb</w:t>
            </w:r>
            <w:proofErr w:type="spellEnd"/>
            <w:r w:rsidRPr="00D86B4F">
              <w:rPr>
                <w:rFonts w:ascii="Arial" w:hAnsi="Arial" w:cs="Arial"/>
                <w:sz w:val="21"/>
                <w:szCs w:val="21"/>
                <w:lang w:eastAsia="de-DE"/>
              </w:rPr>
              <w:t xml:space="preserve"> qualifizierten Spielers nach Abschluss der Vorrunde „rutscht“ der drittplatzierte Spieler auf den 2. Platz und ist damit für den Play-off </w:t>
            </w:r>
            <w:proofErr w:type="spellStart"/>
            <w:r w:rsidRPr="00D86B4F">
              <w:rPr>
                <w:rFonts w:ascii="Arial" w:hAnsi="Arial" w:cs="Arial"/>
                <w:sz w:val="21"/>
                <w:szCs w:val="21"/>
                <w:lang w:eastAsia="de-DE"/>
              </w:rPr>
              <w:t>Bewerb</w:t>
            </w:r>
            <w:proofErr w:type="spellEnd"/>
            <w:r w:rsidRPr="00D86B4F">
              <w:rPr>
                <w:rFonts w:ascii="Arial" w:hAnsi="Arial" w:cs="Arial"/>
                <w:sz w:val="21"/>
                <w:szCs w:val="21"/>
                <w:lang w:eastAsia="de-DE"/>
              </w:rPr>
              <w:t xml:space="preserve"> (Bsp.: Herren: Play-off </w:t>
            </w:r>
            <w:proofErr w:type="spellStart"/>
            <w:r w:rsidRPr="00D86B4F">
              <w:rPr>
                <w:rFonts w:ascii="Arial" w:hAnsi="Arial" w:cs="Arial"/>
                <w:sz w:val="21"/>
                <w:szCs w:val="21"/>
                <w:lang w:eastAsia="de-DE"/>
              </w:rPr>
              <w:t>Bewerb</w:t>
            </w:r>
            <w:proofErr w:type="spellEnd"/>
            <w:r w:rsidRPr="00D86B4F">
              <w:rPr>
                <w:rFonts w:ascii="Arial" w:hAnsi="Arial" w:cs="Arial"/>
                <w:sz w:val="21"/>
                <w:szCs w:val="21"/>
                <w:lang w:eastAsia="de-DE"/>
              </w:rPr>
              <w:t xml:space="preserve"> A) qualifiziert.</w:t>
            </w:r>
          </w:p>
        </w:tc>
      </w:tr>
    </w:tbl>
    <w:p w14:paraId="7547D59A"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 </w:t>
      </w:r>
    </w:p>
    <w:tbl>
      <w:tblPr>
        <w:tblW w:w="5000" w:type="pct"/>
        <w:tblCellMar>
          <w:top w:w="15" w:type="dxa"/>
          <w:left w:w="15" w:type="dxa"/>
          <w:bottom w:w="15" w:type="dxa"/>
          <w:right w:w="15" w:type="dxa"/>
        </w:tblCellMar>
        <w:tblLook w:val="04A0" w:firstRow="1" w:lastRow="0" w:firstColumn="1" w:lastColumn="0" w:noHBand="0" w:noVBand="1"/>
      </w:tblPr>
      <w:tblGrid>
        <w:gridCol w:w="2178"/>
        <w:gridCol w:w="330"/>
        <w:gridCol w:w="6565"/>
      </w:tblGrid>
      <w:tr w:rsidR="00D86B4F" w:rsidRPr="00D86B4F" w14:paraId="0C6922B6" w14:textId="77777777" w:rsidTr="00D86B4F">
        <w:tc>
          <w:tcPr>
            <w:tcW w:w="1200" w:type="pct"/>
            <w:vAlign w:val="center"/>
            <w:hideMark/>
          </w:tcPr>
          <w:p w14:paraId="5FDA742C"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Play-off-Bewerbe</w:t>
            </w:r>
          </w:p>
        </w:tc>
        <w:tc>
          <w:tcPr>
            <w:tcW w:w="182" w:type="pct"/>
            <w:vAlign w:val="center"/>
            <w:hideMark/>
          </w:tcPr>
          <w:p w14:paraId="5AA7A628"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4410" w:type="pct"/>
            <w:vAlign w:val="center"/>
            <w:hideMark/>
          </w:tcPr>
          <w:p w14:paraId="6C9E3521"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 </w:t>
            </w:r>
          </w:p>
        </w:tc>
      </w:tr>
      <w:tr w:rsidR="00D86B4F" w:rsidRPr="00D86B4F" w14:paraId="02B6F909" w14:textId="77777777" w:rsidTr="00D86B4F">
        <w:tc>
          <w:tcPr>
            <w:tcW w:w="1200" w:type="pct"/>
            <w:vAlign w:val="center"/>
            <w:hideMark/>
          </w:tcPr>
          <w:p w14:paraId="38654D00"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 </w:t>
            </w:r>
          </w:p>
          <w:p w14:paraId="2147CB46"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p w14:paraId="5A4E00D7"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Alle Bewerbe</w:t>
            </w:r>
          </w:p>
        </w:tc>
        <w:tc>
          <w:tcPr>
            <w:tcW w:w="182" w:type="pct"/>
            <w:vAlign w:val="center"/>
            <w:hideMark/>
          </w:tcPr>
          <w:p w14:paraId="7D830BB9" w14:textId="77777777" w:rsidR="00D86B4F" w:rsidRPr="00D86B4F" w:rsidRDefault="00D86B4F" w:rsidP="00D86B4F">
            <w:pPr>
              <w:rPr>
                <w:rFonts w:ascii="Arial" w:hAnsi="Arial" w:cs="Arial"/>
                <w:sz w:val="21"/>
                <w:szCs w:val="21"/>
                <w:lang w:eastAsia="de-DE"/>
              </w:rPr>
            </w:pPr>
          </w:p>
        </w:tc>
        <w:tc>
          <w:tcPr>
            <w:tcW w:w="4410" w:type="pct"/>
            <w:vAlign w:val="center"/>
            <w:hideMark/>
          </w:tcPr>
          <w:p w14:paraId="2765AD52"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KO-System mit den zwei Bestplatzierten jeder Gruppe; je nach Anzahl gemeldeter Teilnehmer ist nach der Vorrunde eine Zwischenrunde möglich (= Vorrundenspiele zu Play-off-</w:t>
            </w:r>
            <w:proofErr w:type="spellStart"/>
            <w:r w:rsidRPr="00D86B4F">
              <w:rPr>
                <w:rFonts w:ascii="Arial" w:hAnsi="Arial" w:cs="Arial"/>
                <w:sz w:val="21"/>
                <w:szCs w:val="21"/>
                <w:lang w:eastAsia="de-DE"/>
              </w:rPr>
              <w:t>Bewerb</w:t>
            </w:r>
            <w:proofErr w:type="spellEnd"/>
            <w:r w:rsidRPr="00D86B4F">
              <w:rPr>
                <w:rFonts w:ascii="Arial" w:hAnsi="Arial" w:cs="Arial"/>
                <w:sz w:val="21"/>
                <w:szCs w:val="21"/>
                <w:lang w:eastAsia="de-DE"/>
              </w:rPr>
              <w:t xml:space="preserve"> A). Je nach Nennungen ist für jeden </w:t>
            </w:r>
            <w:proofErr w:type="spellStart"/>
            <w:r w:rsidRPr="00D86B4F">
              <w:rPr>
                <w:rFonts w:ascii="Arial" w:hAnsi="Arial" w:cs="Arial"/>
                <w:sz w:val="21"/>
                <w:szCs w:val="21"/>
                <w:lang w:eastAsia="de-DE"/>
              </w:rPr>
              <w:t>Bewerb</w:t>
            </w:r>
            <w:proofErr w:type="spellEnd"/>
            <w:r w:rsidRPr="00D86B4F">
              <w:rPr>
                <w:rFonts w:ascii="Arial" w:hAnsi="Arial" w:cs="Arial"/>
                <w:sz w:val="21"/>
                <w:szCs w:val="21"/>
                <w:lang w:eastAsia="de-DE"/>
              </w:rPr>
              <w:t xml:space="preserve"> ein B-</w:t>
            </w:r>
            <w:proofErr w:type="spellStart"/>
            <w:r w:rsidRPr="00D86B4F">
              <w:rPr>
                <w:rFonts w:ascii="Arial" w:hAnsi="Arial" w:cs="Arial"/>
                <w:sz w:val="21"/>
                <w:szCs w:val="21"/>
                <w:lang w:eastAsia="de-DE"/>
              </w:rPr>
              <w:t>Bewerb</w:t>
            </w:r>
            <w:proofErr w:type="spellEnd"/>
            <w:r w:rsidRPr="00D86B4F">
              <w:rPr>
                <w:rFonts w:ascii="Arial" w:hAnsi="Arial" w:cs="Arial"/>
                <w:sz w:val="21"/>
                <w:szCs w:val="21"/>
                <w:lang w:eastAsia="de-DE"/>
              </w:rPr>
              <w:t xml:space="preserve"> vorgesehen. ACHTUNG: Herren Allgemein bekommt einen eigenen B-</w:t>
            </w:r>
            <w:proofErr w:type="spellStart"/>
            <w:r w:rsidRPr="00D86B4F">
              <w:rPr>
                <w:rFonts w:ascii="Arial" w:hAnsi="Arial" w:cs="Arial"/>
                <w:sz w:val="21"/>
                <w:szCs w:val="21"/>
                <w:lang w:eastAsia="de-DE"/>
              </w:rPr>
              <w:t>Bewerb</w:t>
            </w:r>
            <w:proofErr w:type="spellEnd"/>
            <w:r w:rsidRPr="00D86B4F">
              <w:rPr>
                <w:rFonts w:ascii="Arial" w:hAnsi="Arial" w:cs="Arial"/>
                <w:sz w:val="21"/>
                <w:szCs w:val="21"/>
                <w:lang w:eastAsia="de-DE"/>
              </w:rPr>
              <w:t>. Die Herren 45+ und die Herren 60+ werden einen zusammengeführten B-</w:t>
            </w:r>
            <w:proofErr w:type="spellStart"/>
            <w:r w:rsidRPr="00D86B4F">
              <w:rPr>
                <w:rFonts w:ascii="Arial" w:hAnsi="Arial" w:cs="Arial"/>
                <w:sz w:val="21"/>
                <w:szCs w:val="21"/>
                <w:lang w:eastAsia="de-DE"/>
              </w:rPr>
              <w:t>Bewerb</w:t>
            </w:r>
            <w:proofErr w:type="spellEnd"/>
            <w:r w:rsidRPr="00D86B4F">
              <w:rPr>
                <w:rFonts w:ascii="Arial" w:hAnsi="Arial" w:cs="Arial"/>
                <w:sz w:val="21"/>
                <w:szCs w:val="21"/>
                <w:lang w:eastAsia="de-DE"/>
              </w:rPr>
              <w:t xml:space="preserve"> bekommen (Änderung zum letzten Jahr).</w:t>
            </w:r>
          </w:p>
        </w:tc>
      </w:tr>
      <w:tr w:rsidR="00D86B4F" w:rsidRPr="00D86B4F" w14:paraId="39476BBA" w14:textId="77777777" w:rsidTr="00D86B4F">
        <w:tc>
          <w:tcPr>
            <w:tcW w:w="1200" w:type="pct"/>
            <w:vAlign w:val="center"/>
            <w:hideMark/>
          </w:tcPr>
          <w:p w14:paraId="407C845E"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 </w:t>
            </w:r>
          </w:p>
        </w:tc>
        <w:tc>
          <w:tcPr>
            <w:tcW w:w="182" w:type="pct"/>
            <w:vAlign w:val="center"/>
            <w:hideMark/>
          </w:tcPr>
          <w:p w14:paraId="03EEE98A" w14:textId="77777777" w:rsidR="00D86B4F" w:rsidRPr="00D86B4F" w:rsidRDefault="00D86B4F" w:rsidP="00D86B4F">
            <w:pPr>
              <w:rPr>
                <w:rFonts w:ascii="Arial" w:hAnsi="Arial" w:cs="Arial"/>
                <w:sz w:val="21"/>
                <w:szCs w:val="21"/>
                <w:lang w:eastAsia="de-DE"/>
              </w:rPr>
            </w:pPr>
          </w:p>
        </w:tc>
        <w:tc>
          <w:tcPr>
            <w:tcW w:w="4410" w:type="pct"/>
            <w:vAlign w:val="center"/>
            <w:hideMark/>
          </w:tcPr>
          <w:p w14:paraId="7F820003"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 </w:t>
            </w:r>
          </w:p>
        </w:tc>
      </w:tr>
      <w:tr w:rsidR="00D86B4F" w:rsidRPr="00D86B4F" w14:paraId="24B18E54" w14:textId="77777777" w:rsidTr="00D86B4F">
        <w:tc>
          <w:tcPr>
            <w:tcW w:w="1200" w:type="pct"/>
            <w:vAlign w:val="center"/>
            <w:hideMark/>
          </w:tcPr>
          <w:p w14:paraId="03FC82FC"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p w14:paraId="0939AACF"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p w14:paraId="045A6F97"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Jugend (Modus inkl. Playoff)</w:t>
            </w:r>
          </w:p>
        </w:tc>
        <w:tc>
          <w:tcPr>
            <w:tcW w:w="182" w:type="pct"/>
            <w:vAlign w:val="center"/>
            <w:hideMark/>
          </w:tcPr>
          <w:p w14:paraId="1C77A3AA"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 </w:t>
            </w:r>
          </w:p>
        </w:tc>
        <w:tc>
          <w:tcPr>
            <w:tcW w:w="4410" w:type="pct"/>
            <w:vAlign w:val="center"/>
            <w:hideMark/>
          </w:tcPr>
          <w:p w14:paraId="34CE5FE4"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Je nach Anzahl der Nennungen wird hier eine Gruppe + Finalspiele – oder eine Gruppe jeden gegen jeden gespielt. Platzierung entweder durch KO-Spiele oder durch Siege in der Gruppe</w:t>
            </w:r>
          </w:p>
          <w:p w14:paraId="6C416AF8"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 </w:t>
            </w:r>
          </w:p>
        </w:tc>
      </w:tr>
      <w:tr w:rsidR="00D86B4F" w:rsidRPr="00D86B4F" w14:paraId="0930595A" w14:textId="77777777" w:rsidTr="00D86B4F">
        <w:tc>
          <w:tcPr>
            <w:tcW w:w="1200" w:type="pct"/>
            <w:vAlign w:val="center"/>
            <w:hideMark/>
          </w:tcPr>
          <w:p w14:paraId="4AADE516"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Beachten</w:t>
            </w:r>
          </w:p>
        </w:tc>
        <w:tc>
          <w:tcPr>
            <w:tcW w:w="182" w:type="pct"/>
            <w:vAlign w:val="center"/>
            <w:hideMark/>
          </w:tcPr>
          <w:p w14:paraId="0C3A5C28" w14:textId="77777777" w:rsidR="00D86B4F" w:rsidRPr="00D86B4F" w:rsidRDefault="00D86B4F" w:rsidP="00D86B4F">
            <w:pPr>
              <w:rPr>
                <w:rFonts w:ascii="Arial" w:hAnsi="Arial" w:cs="Arial"/>
                <w:sz w:val="21"/>
                <w:szCs w:val="21"/>
                <w:lang w:eastAsia="de-DE"/>
              </w:rPr>
            </w:pPr>
          </w:p>
        </w:tc>
        <w:tc>
          <w:tcPr>
            <w:tcW w:w="4410" w:type="pct"/>
            <w:vAlign w:val="center"/>
            <w:hideMark/>
          </w:tcPr>
          <w:p w14:paraId="35EE11DF"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In allen Play-off-Bewerben „rutscht“ bei Nichtverfügbarkeit des Siegers in der nächsten Runde der Verlierer der Runde zuvor auf den Platz des verhinderten/verletzten Siegers. Die Turnierleitung behält sich vor, bei Terminüberschreitung eines Spiels den Sieger per Los-Entscheid zu ermitteln.</w:t>
            </w:r>
          </w:p>
        </w:tc>
      </w:tr>
      <w:tr w:rsidR="00D86B4F" w:rsidRPr="00D86B4F" w14:paraId="3F7CDE03" w14:textId="77777777" w:rsidTr="00D86B4F">
        <w:tc>
          <w:tcPr>
            <w:tcW w:w="1200" w:type="pct"/>
            <w:vAlign w:val="center"/>
            <w:hideMark/>
          </w:tcPr>
          <w:p w14:paraId="1EE09429"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 </w:t>
            </w:r>
          </w:p>
        </w:tc>
        <w:tc>
          <w:tcPr>
            <w:tcW w:w="182" w:type="pct"/>
            <w:vAlign w:val="center"/>
            <w:hideMark/>
          </w:tcPr>
          <w:p w14:paraId="28A0A0CB" w14:textId="77777777" w:rsidR="00D86B4F" w:rsidRPr="00D86B4F" w:rsidRDefault="00D86B4F" w:rsidP="00D86B4F">
            <w:pPr>
              <w:rPr>
                <w:rFonts w:ascii="Arial" w:hAnsi="Arial" w:cs="Arial"/>
                <w:sz w:val="21"/>
                <w:szCs w:val="21"/>
                <w:lang w:eastAsia="de-DE"/>
              </w:rPr>
            </w:pPr>
          </w:p>
        </w:tc>
        <w:tc>
          <w:tcPr>
            <w:tcW w:w="4410" w:type="pct"/>
            <w:vAlign w:val="center"/>
            <w:hideMark/>
          </w:tcPr>
          <w:p w14:paraId="3545528E"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 </w:t>
            </w:r>
          </w:p>
        </w:tc>
      </w:tr>
      <w:tr w:rsidR="00D86B4F" w:rsidRPr="00D86B4F" w14:paraId="1A396A25" w14:textId="77777777" w:rsidTr="00D86B4F">
        <w:tc>
          <w:tcPr>
            <w:tcW w:w="1200" w:type="pct"/>
            <w:vAlign w:val="center"/>
            <w:hideMark/>
          </w:tcPr>
          <w:p w14:paraId="345DFD6B" w14:textId="77777777" w:rsidR="00D86B4F" w:rsidRPr="00D86B4F" w:rsidRDefault="00D86B4F" w:rsidP="00D86B4F">
            <w:pPr>
              <w:spacing w:before="100" w:beforeAutospacing="1" w:after="100" w:afterAutospacing="1"/>
              <w:rPr>
                <w:rFonts w:ascii="Arial" w:hAnsi="Arial" w:cs="Arial"/>
                <w:sz w:val="21"/>
                <w:szCs w:val="21"/>
                <w:lang w:eastAsia="de-DE"/>
              </w:rPr>
            </w:pPr>
            <w:r w:rsidRPr="00D86B4F">
              <w:rPr>
                <w:rFonts w:ascii="Arial" w:hAnsi="Arial" w:cs="Arial"/>
                <w:b/>
                <w:bCs/>
                <w:sz w:val="21"/>
                <w:szCs w:val="21"/>
                <w:lang w:eastAsia="de-DE"/>
              </w:rPr>
              <w:t>Sonstiges</w:t>
            </w:r>
          </w:p>
        </w:tc>
        <w:tc>
          <w:tcPr>
            <w:tcW w:w="182" w:type="pct"/>
            <w:vAlign w:val="center"/>
            <w:hideMark/>
          </w:tcPr>
          <w:p w14:paraId="14CFD408" w14:textId="77777777" w:rsidR="00D86B4F" w:rsidRPr="00D86B4F" w:rsidRDefault="00D86B4F" w:rsidP="00D86B4F">
            <w:pPr>
              <w:rPr>
                <w:rFonts w:ascii="Arial" w:hAnsi="Arial" w:cs="Arial"/>
                <w:sz w:val="21"/>
                <w:szCs w:val="21"/>
                <w:lang w:eastAsia="de-DE"/>
              </w:rPr>
            </w:pPr>
          </w:p>
        </w:tc>
        <w:tc>
          <w:tcPr>
            <w:tcW w:w="4410" w:type="pct"/>
            <w:vAlign w:val="center"/>
            <w:hideMark/>
          </w:tcPr>
          <w:p w14:paraId="0405E870" w14:textId="77777777" w:rsidR="00D86B4F" w:rsidRPr="00D86B4F" w:rsidRDefault="00D86B4F" w:rsidP="00D86B4F">
            <w:pPr>
              <w:numPr>
                <w:ilvl w:val="0"/>
                <w:numId w:val="5"/>
              </w:num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Der Veranstalter/die Turnierleitung/TC Nofels-</w:t>
            </w:r>
            <w:proofErr w:type="spellStart"/>
            <w:r w:rsidRPr="00D86B4F">
              <w:rPr>
                <w:rFonts w:ascii="Arial" w:hAnsi="Arial" w:cs="Arial"/>
                <w:sz w:val="21"/>
                <w:szCs w:val="21"/>
                <w:lang w:eastAsia="de-DE"/>
              </w:rPr>
              <w:t>Tosters</w:t>
            </w:r>
            <w:proofErr w:type="spellEnd"/>
            <w:r w:rsidRPr="00D86B4F">
              <w:rPr>
                <w:rFonts w:ascii="Arial" w:hAnsi="Arial" w:cs="Arial"/>
                <w:sz w:val="21"/>
                <w:szCs w:val="21"/>
                <w:lang w:eastAsia="de-DE"/>
              </w:rPr>
              <w:t xml:space="preserve"> übernimmt für Unfälle jeder Art keine Haftung. Für Kinder/Jugendliche haften Erziehungsberechtigte.</w:t>
            </w:r>
          </w:p>
          <w:p w14:paraId="71B2C6A2" w14:textId="77777777" w:rsidR="00D86B4F" w:rsidRPr="00D86B4F" w:rsidRDefault="00D86B4F" w:rsidP="00D86B4F">
            <w:pPr>
              <w:numPr>
                <w:ilvl w:val="0"/>
                <w:numId w:val="5"/>
              </w:num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Mehrfachnennungen in unterschiedlichen Bewerben sind möglich/erwünscht</w:t>
            </w:r>
          </w:p>
          <w:p w14:paraId="727B2CA9" w14:textId="77777777" w:rsidR="00D86B4F" w:rsidRPr="00D86B4F" w:rsidRDefault="00D86B4F" w:rsidP="00D86B4F">
            <w:pPr>
              <w:numPr>
                <w:ilvl w:val="0"/>
                <w:numId w:val="5"/>
              </w:num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Die Spiele sind selbst zu organisieren. Für die rechtzeitige Durchführung ist jeder Spieler selbst verantwortlich (fair-play).</w:t>
            </w:r>
          </w:p>
          <w:p w14:paraId="7A6D3A50" w14:textId="77777777" w:rsidR="00D86B4F" w:rsidRPr="00D86B4F" w:rsidRDefault="00D86B4F" w:rsidP="00D86B4F">
            <w:pPr>
              <w:numPr>
                <w:ilvl w:val="0"/>
                <w:numId w:val="5"/>
              </w:num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Ergebnisse sind vom Sieger unmittelbar nach dem Spielende in die Listen im Clubheim einzutragen.</w:t>
            </w:r>
          </w:p>
          <w:p w14:paraId="4B63170F" w14:textId="77777777" w:rsidR="00D86B4F" w:rsidRPr="00D86B4F" w:rsidRDefault="00D86B4F" w:rsidP="00D86B4F">
            <w:pPr>
              <w:numPr>
                <w:ilvl w:val="0"/>
                <w:numId w:val="5"/>
              </w:num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Für die Spiele gelten die ÖTV-Regeln, 2 Gewinnsätze, 3. Satz Matchtiebreak.</w:t>
            </w:r>
          </w:p>
          <w:p w14:paraId="33786800" w14:textId="77777777" w:rsidR="00D86B4F" w:rsidRPr="00D86B4F" w:rsidRDefault="00D86B4F" w:rsidP="00D86B4F">
            <w:pPr>
              <w:numPr>
                <w:ilvl w:val="0"/>
                <w:numId w:val="5"/>
              </w:num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Die Spieler/-innen einigen sich vor Spielbeginn gemeinsam auf eine Ballmarke. Es sind neuwertige Bälle zu verwenden. Bälle a Halbfinalspiele werden vom Verein gestellt.</w:t>
            </w:r>
          </w:p>
          <w:p w14:paraId="2D3AA1C4" w14:textId="77777777" w:rsidR="00D86B4F" w:rsidRPr="00D86B4F" w:rsidRDefault="00D86B4F" w:rsidP="00D86B4F">
            <w:pPr>
              <w:numPr>
                <w:ilvl w:val="0"/>
                <w:numId w:val="5"/>
              </w:num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 xml:space="preserve">Der Ausgang dieser Meisterschaften hat auf die </w:t>
            </w:r>
            <w:proofErr w:type="spellStart"/>
            <w:r w:rsidRPr="00D86B4F">
              <w:rPr>
                <w:rFonts w:ascii="Arial" w:hAnsi="Arial" w:cs="Arial"/>
                <w:sz w:val="21"/>
                <w:szCs w:val="21"/>
                <w:lang w:eastAsia="de-DE"/>
              </w:rPr>
              <w:t>Forderranglisten</w:t>
            </w:r>
            <w:proofErr w:type="spellEnd"/>
            <w:r w:rsidRPr="00D86B4F">
              <w:rPr>
                <w:rFonts w:ascii="Arial" w:hAnsi="Arial" w:cs="Arial"/>
                <w:sz w:val="21"/>
                <w:szCs w:val="21"/>
                <w:lang w:eastAsia="de-DE"/>
              </w:rPr>
              <w:t xml:space="preserve"> keinen Einfluss.</w:t>
            </w:r>
          </w:p>
          <w:p w14:paraId="3D5CA6E8" w14:textId="77777777" w:rsidR="00D86B4F" w:rsidRPr="00D86B4F" w:rsidRDefault="00D86B4F" w:rsidP="00D86B4F">
            <w:pPr>
              <w:numPr>
                <w:ilvl w:val="0"/>
                <w:numId w:val="5"/>
              </w:num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In Streitfällen entscheidet die Turnierleitung in Funktion des Oberschiedsrichters. Ebenso in Fällen, welche diese Ausschreibung nicht oder nicht eindeutig regelt.</w:t>
            </w:r>
          </w:p>
          <w:p w14:paraId="267BEFCB" w14:textId="77777777" w:rsidR="00D86B4F" w:rsidRPr="00D86B4F" w:rsidRDefault="00D86B4F" w:rsidP="00D86B4F">
            <w:pPr>
              <w:numPr>
                <w:ilvl w:val="0"/>
                <w:numId w:val="5"/>
              </w:num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Die Turnierleitung behält sich vor, die Durchführungsbestimmungen, insb. den Zeitplan, im Bedarfsfall zu ändern.</w:t>
            </w:r>
          </w:p>
          <w:p w14:paraId="7BAB0C98" w14:textId="77777777" w:rsidR="00D86B4F" w:rsidRPr="00D86B4F" w:rsidRDefault="00D86B4F" w:rsidP="00D86B4F">
            <w:pPr>
              <w:numPr>
                <w:ilvl w:val="0"/>
                <w:numId w:val="5"/>
              </w:num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lastRenderedPageBreak/>
              <w:t>Während der Turnierdauer haben Meisterschaftsspiele Vorrang vor dem allgemeinen Spielbetrieb (ausgenommen reservierte Plätze 4-6).</w:t>
            </w:r>
          </w:p>
          <w:p w14:paraId="6C0F18DB" w14:textId="77777777" w:rsidR="00D86B4F" w:rsidRPr="00D86B4F" w:rsidRDefault="00D86B4F" w:rsidP="00D86B4F">
            <w:pPr>
              <w:numPr>
                <w:ilvl w:val="0"/>
                <w:numId w:val="5"/>
              </w:numPr>
              <w:spacing w:before="100" w:beforeAutospacing="1" w:after="100" w:afterAutospacing="1"/>
              <w:rPr>
                <w:rFonts w:ascii="Arial" w:hAnsi="Arial" w:cs="Arial"/>
                <w:sz w:val="21"/>
                <w:szCs w:val="21"/>
                <w:lang w:eastAsia="de-DE"/>
              </w:rPr>
            </w:pPr>
            <w:r w:rsidRPr="00D86B4F">
              <w:rPr>
                <w:rFonts w:ascii="Arial" w:hAnsi="Arial" w:cs="Arial"/>
                <w:sz w:val="21"/>
                <w:szCs w:val="21"/>
                <w:lang w:eastAsia="de-DE"/>
              </w:rPr>
              <w:t>Vorgegebene Termine sind einzuhalten.</w:t>
            </w:r>
          </w:p>
        </w:tc>
      </w:tr>
    </w:tbl>
    <w:p w14:paraId="39EBC52B" w14:textId="3000074B" w:rsidR="007F1892" w:rsidRPr="00D86B4F" w:rsidRDefault="007F1892" w:rsidP="00D86B4F">
      <w:pPr>
        <w:spacing w:before="100" w:beforeAutospacing="1" w:after="100" w:afterAutospacing="1"/>
        <w:rPr>
          <w:rFonts w:ascii="Arial" w:hAnsi="Arial" w:cs="Arial"/>
          <w:lang w:eastAsia="de-DE"/>
        </w:rPr>
      </w:pPr>
    </w:p>
    <w:sectPr w:rsidR="007F1892" w:rsidRPr="00D86B4F" w:rsidSect="00D64578">
      <w:pgSz w:w="11907" w:h="16839" w:code="9"/>
      <w:pgMar w:top="1079" w:right="1417" w:bottom="71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82C3E"/>
    <w:multiLevelType w:val="hybridMultilevel"/>
    <w:tmpl w:val="FE8CD53A"/>
    <w:lvl w:ilvl="0" w:tplc="7B9EFC78">
      <w:start w:val="1"/>
      <w:numFmt w:val="bullet"/>
      <w:lvlText w:val=""/>
      <w:lvlJc w:val="left"/>
      <w:pPr>
        <w:tabs>
          <w:tab w:val="num" w:pos="1368"/>
        </w:tabs>
        <w:ind w:left="648" w:firstLine="432"/>
      </w:pPr>
      <w:rPr>
        <w:rFonts w:ascii="Symbol" w:hAnsi="Symbol"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4547F3"/>
    <w:multiLevelType w:val="multilevel"/>
    <w:tmpl w:val="028A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340514"/>
    <w:multiLevelType w:val="hybridMultilevel"/>
    <w:tmpl w:val="0D8881DC"/>
    <w:lvl w:ilvl="0" w:tplc="7B9EFC78">
      <w:start w:val="1"/>
      <w:numFmt w:val="bullet"/>
      <w:lvlText w:val=""/>
      <w:lvlJc w:val="left"/>
      <w:pPr>
        <w:tabs>
          <w:tab w:val="num" w:pos="1368"/>
        </w:tabs>
        <w:ind w:left="648" w:firstLine="432"/>
      </w:pPr>
      <w:rPr>
        <w:rFonts w:ascii="Symbol" w:hAnsi="Symbol"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645235"/>
    <w:multiLevelType w:val="hybridMultilevel"/>
    <w:tmpl w:val="83861DE4"/>
    <w:lvl w:ilvl="0" w:tplc="7B9EFC78">
      <w:start w:val="1"/>
      <w:numFmt w:val="bullet"/>
      <w:lvlText w:val=""/>
      <w:lvlJc w:val="left"/>
      <w:pPr>
        <w:tabs>
          <w:tab w:val="num" w:pos="1368"/>
        </w:tabs>
        <w:ind w:left="648" w:firstLine="432"/>
      </w:pPr>
      <w:rPr>
        <w:rFonts w:ascii="Symbol" w:hAnsi="Symbol"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2736A3"/>
    <w:multiLevelType w:val="hybridMultilevel"/>
    <w:tmpl w:val="DCA8D3E6"/>
    <w:lvl w:ilvl="0" w:tplc="7B9EFC78">
      <w:start w:val="1"/>
      <w:numFmt w:val="bullet"/>
      <w:lvlText w:val=""/>
      <w:lvlJc w:val="left"/>
      <w:pPr>
        <w:tabs>
          <w:tab w:val="num" w:pos="1368"/>
        </w:tabs>
        <w:ind w:left="648" w:firstLine="432"/>
      </w:pPr>
      <w:rPr>
        <w:rFonts w:ascii="Symbol" w:hAnsi="Symbol"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05589978">
    <w:abstractNumId w:val="4"/>
  </w:num>
  <w:num w:numId="2" w16cid:durableId="1192499157">
    <w:abstractNumId w:val="3"/>
  </w:num>
  <w:num w:numId="3" w16cid:durableId="635260896">
    <w:abstractNumId w:val="0"/>
  </w:num>
  <w:num w:numId="4" w16cid:durableId="1815373037">
    <w:abstractNumId w:val="2"/>
  </w:num>
  <w:num w:numId="5" w16cid:durableId="1799176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B0D"/>
    <w:rsid w:val="000A7498"/>
    <w:rsid w:val="000D6719"/>
    <w:rsid w:val="00130684"/>
    <w:rsid w:val="0015794C"/>
    <w:rsid w:val="001937E2"/>
    <w:rsid w:val="00195FBE"/>
    <w:rsid w:val="001C43AB"/>
    <w:rsid w:val="00286CCE"/>
    <w:rsid w:val="002903A1"/>
    <w:rsid w:val="004123A2"/>
    <w:rsid w:val="00492D69"/>
    <w:rsid w:val="00502141"/>
    <w:rsid w:val="00502B09"/>
    <w:rsid w:val="00595184"/>
    <w:rsid w:val="005E3151"/>
    <w:rsid w:val="006247DE"/>
    <w:rsid w:val="007F1892"/>
    <w:rsid w:val="00803DC2"/>
    <w:rsid w:val="00834D15"/>
    <w:rsid w:val="00843117"/>
    <w:rsid w:val="0086413A"/>
    <w:rsid w:val="008A642D"/>
    <w:rsid w:val="009029F9"/>
    <w:rsid w:val="00934144"/>
    <w:rsid w:val="009430CE"/>
    <w:rsid w:val="009464C5"/>
    <w:rsid w:val="009E4CDE"/>
    <w:rsid w:val="00A16FBF"/>
    <w:rsid w:val="00A87C62"/>
    <w:rsid w:val="00A957B3"/>
    <w:rsid w:val="00AA67AE"/>
    <w:rsid w:val="00B06714"/>
    <w:rsid w:val="00B25F19"/>
    <w:rsid w:val="00C06D96"/>
    <w:rsid w:val="00CB2B0D"/>
    <w:rsid w:val="00CC2689"/>
    <w:rsid w:val="00D5238F"/>
    <w:rsid w:val="00D64578"/>
    <w:rsid w:val="00D86B4F"/>
    <w:rsid w:val="00DF4CC9"/>
    <w:rsid w:val="00E20D9E"/>
    <w:rsid w:val="00E6241D"/>
    <w:rsid w:val="00ED7205"/>
    <w:rsid w:val="00F048F7"/>
    <w:rsid w:val="00F95479"/>
    <w:rsid w:val="00FD08E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0865C"/>
  <w15:docId w15:val="{95D98B48-8BF5-4F71-A776-5A89770F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5238F"/>
    <w:rPr>
      <w:sz w:val="24"/>
      <w:szCs w:val="24"/>
      <w:lang w:val="de-AT" w:eastAsia="de-AT"/>
    </w:rPr>
  </w:style>
  <w:style w:type="paragraph" w:styleId="berschrift2">
    <w:name w:val="heading 2"/>
    <w:basedOn w:val="Standard"/>
    <w:link w:val="berschrift2Zchn"/>
    <w:uiPriority w:val="9"/>
    <w:qFormat/>
    <w:rsid w:val="00D86B4F"/>
    <w:pPr>
      <w:spacing w:before="100" w:beforeAutospacing="1" w:after="100" w:afterAutospacing="1"/>
      <w:outlineLvl w:val="1"/>
    </w:pPr>
    <w:rPr>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52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5238F"/>
    <w:rPr>
      <w:color w:val="0000FF"/>
      <w:u w:val="single"/>
    </w:rPr>
  </w:style>
  <w:style w:type="paragraph" w:styleId="Sprechblasentext">
    <w:name w:val="Balloon Text"/>
    <w:basedOn w:val="Standard"/>
    <w:link w:val="SprechblasentextZchn"/>
    <w:rsid w:val="00502B09"/>
    <w:rPr>
      <w:rFonts w:ascii="Tahoma" w:hAnsi="Tahoma" w:cs="Tahoma"/>
      <w:sz w:val="16"/>
      <w:szCs w:val="16"/>
    </w:rPr>
  </w:style>
  <w:style w:type="character" w:customStyle="1" w:styleId="SprechblasentextZchn">
    <w:name w:val="Sprechblasentext Zchn"/>
    <w:basedOn w:val="Absatz-Standardschriftart"/>
    <w:link w:val="Sprechblasentext"/>
    <w:rsid w:val="00502B09"/>
    <w:rPr>
      <w:rFonts w:ascii="Tahoma" w:hAnsi="Tahoma" w:cs="Tahoma"/>
      <w:sz w:val="16"/>
      <w:szCs w:val="16"/>
      <w:lang w:val="de-AT" w:eastAsia="de-AT"/>
    </w:rPr>
  </w:style>
  <w:style w:type="character" w:customStyle="1" w:styleId="berschrift2Zchn">
    <w:name w:val="Überschrift 2 Zchn"/>
    <w:basedOn w:val="Absatz-Standardschriftart"/>
    <w:link w:val="berschrift2"/>
    <w:uiPriority w:val="9"/>
    <w:rsid w:val="00D86B4F"/>
    <w:rPr>
      <w:b/>
      <w:bCs/>
      <w:sz w:val="36"/>
      <w:szCs w:val="36"/>
      <w:lang w:val="de-AT"/>
    </w:rPr>
  </w:style>
  <w:style w:type="character" w:customStyle="1" w:styleId="highlightcolor4">
    <w:name w:val="highlightcolor_4"/>
    <w:basedOn w:val="Absatz-Standardschriftart"/>
    <w:rsid w:val="00D86B4F"/>
  </w:style>
  <w:style w:type="paragraph" w:styleId="StandardWeb">
    <w:name w:val="Normal (Web)"/>
    <w:basedOn w:val="Standard"/>
    <w:uiPriority w:val="99"/>
    <w:semiHidden/>
    <w:unhideWhenUsed/>
    <w:rsid w:val="00D86B4F"/>
    <w:pPr>
      <w:spacing w:before="100" w:beforeAutospacing="1" w:after="100" w:afterAutospacing="1"/>
    </w:pPr>
    <w:rPr>
      <w:lang w:eastAsia="de-DE"/>
    </w:rPr>
  </w:style>
  <w:style w:type="character" w:styleId="Fett">
    <w:name w:val="Strong"/>
    <w:basedOn w:val="Absatz-Standardschriftart"/>
    <w:uiPriority w:val="22"/>
    <w:qFormat/>
    <w:rsid w:val="00D86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7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urnherjuli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3834</Characters>
  <Application>Microsoft Office Word</Application>
  <DocSecurity>0</DocSecurity>
  <Lines>153</Lines>
  <Paragraphs>55</Paragraphs>
  <ScaleCrop>false</ScaleCrop>
  <HeadingPairs>
    <vt:vector size="2" baseType="variant">
      <vt:variant>
        <vt:lpstr>Titel</vt:lpstr>
      </vt:variant>
      <vt:variant>
        <vt:i4>1</vt:i4>
      </vt:variant>
    </vt:vector>
  </HeadingPairs>
  <TitlesOfParts>
    <vt:vector size="1" baseType="lpstr">
      <vt:lpstr/>
    </vt:vector>
  </TitlesOfParts>
  <Company>Rauch Fruchtsäfte GesmbH</Company>
  <LinksUpToDate>false</LinksUpToDate>
  <CharactersWithSpaces>4362</CharactersWithSpaces>
  <SharedDoc>false</SharedDoc>
  <HLinks>
    <vt:vector size="6" baseType="variant">
      <vt:variant>
        <vt:i4>4849760</vt:i4>
      </vt:variant>
      <vt:variant>
        <vt:i4>0</vt:i4>
      </vt:variant>
      <vt:variant>
        <vt:i4>0</vt:i4>
      </vt:variant>
      <vt:variant>
        <vt:i4>5</vt:i4>
      </vt:variant>
      <vt:variant>
        <vt:lpwstr>mailto:office@tcnoto.at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Efferl</dc:creator>
  <cp:lastModifiedBy>Giselher Burghard</cp:lastModifiedBy>
  <cp:revision>4</cp:revision>
  <cp:lastPrinted>2024-06-24T14:22:00Z</cp:lastPrinted>
  <dcterms:created xsi:type="dcterms:W3CDTF">2026-06-17T14:24:00Z</dcterms:created>
  <dcterms:modified xsi:type="dcterms:W3CDTF">2026-06-18T12:25:00Z</dcterms:modified>
</cp:coreProperties>
</file>